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25" w:name="_GoBack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6bis                               R4-2305417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,</w:t>
      </w:r>
      <w:r>
        <w:rPr>
          <w:rFonts w:ascii="Arial" w:hAnsi="Arial" w:cs="Arial"/>
          <w:b/>
          <w:sz w:val="24"/>
          <w:szCs w:val="24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</w:rPr>
        <w:t>,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</w:rPr>
        <w:t>3</w:t>
      </w:r>
    </w:p>
    <w:bookmarkEnd w:id="25"/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5.27.1.1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Further 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system parameter for NTN in Ka band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bCs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RAN#92e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] on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NR NTN (Non-Terrestrial Networks) enhancements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was approved as one of Rel-18 RAN1/2/3 package. In this contribution, we want to share further views for system parameters for NTN in Ka-band.</w:t>
      </w:r>
      <w:bookmarkStart w:id="1" w:name="OLE_LINK35"/>
    </w:p>
    <w:p>
      <w:pPr>
        <w:spacing w:after="120"/>
        <w:rPr>
          <w:szCs w:val="24"/>
          <w:highlight w:val="green"/>
          <w:lang w:eastAsia="zh-CN"/>
        </w:rPr>
      </w:pPr>
      <w:r>
        <w:rPr>
          <w:szCs w:val="24"/>
          <w:highlight w:val="green"/>
          <w:lang w:eastAsia="zh-CN"/>
        </w:rPr>
        <w:t xml:space="preserve">Agreement:  </w:t>
      </w:r>
    </w:p>
    <w:p>
      <w:pPr>
        <w:pStyle w:val="34"/>
        <w:numPr>
          <w:ilvl w:val="0"/>
          <w:numId w:val="2"/>
        </w:numPr>
        <w:rPr>
          <w:highlight w:val="green"/>
        </w:rPr>
      </w:pPr>
      <w:r>
        <w:rPr>
          <w:highlight w:val="green"/>
        </w:rPr>
        <w:t xml:space="preserve">FSS spectrum should be included in 3GPP band definition for the purpose of enabling </w:t>
      </w:r>
      <w:r>
        <w:rPr>
          <w:strike/>
          <w:highlight w:val="green"/>
        </w:rPr>
        <w:t>ESIM/moving VSAT</w:t>
      </w:r>
      <w:r>
        <w:rPr>
          <w:highlight w:val="green"/>
        </w:rPr>
        <w:t xml:space="preserve"> moveable NTN terminal with priority.  [Fixed VSAT in FSS allocation – Companies to check RAN4 ToR to see if there is a restriction on fixed device in fixed spectrum]</w:t>
      </w:r>
    </w:p>
    <w:p>
      <w:pPr>
        <w:pStyle w:val="34"/>
        <w:numPr>
          <w:ilvl w:val="0"/>
          <w:numId w:val="2"/>
        </w:numPr>
        <w:rPr>
          <w:bCs/>
        </w:rPr>
      </w:pPr>
      <w:r>
        <w:rPr>
          <w:highlight w:val="green"/>
        </w:rPr>
        <w:t xml:space="preserve">Define several NTN Ka-bands to address the diversity of spectrum allocation </w:t>
      </w:r>
      <w:r>
        <w:rPr>
          <w:strike/>
          <w:highlight w:val="green"/>
        </w:rPr>
        <w:t>to ESIM</w:t>
      </w:r>
      <w:r>
        <w:rPr>
          <w:highlight w:val="green"/>
        </w:rPr>
        <w:t xml:space="preserve"> by national regulators, RAN4 should consider specifying several “NTN Ka-bands”</w:t>
      </w:r>
    </w:p>
    <w:bookmarkEnd w:id="1"/>
    <w:p>
      <w:pPr>
        <w:pStyle w:val="55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default"/>
          <w:szCs w:val="24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20"/>
      <w:bookmarkStart w:id="3" w:name="OLE_LINK10"/>
      <w:bookmarkStart w:id="4" w:name="OLE_LINK14"/>
      <w:bookmarkStart w:id="5" w:name="OLE_LINK13"/>
      <w:r>
        <w:rPr>
          <w:rFonts w:hint="eastAsia" w:eastAsia="Times New Roman"/>
          <w:highlight w:val="none"/>
          <w:lang w:val="en-US" w:eastAsia="zh-CN"/>
        </w:rPr>
        <w:t xml:space="preserve"> </w:t>
      </w:r>
      <w:bookmarkStart w:id="6" w:name="_Toc61372641"/>
      <w:bookmarkStart w:id="7" w:name="_Toc29802107"/>
      <w:bookmarkStart w:id="8" w:name="_Toc75467001"/>
      <w:bookmarkStart w:id="9" w:name="_Toc84404832"/>
      <w:bookmarkStart w:id="10" w:name="_Toc45888618"/>
      <w:bookmarkStart w:id="11" w:name="_Toc61367258"/>
      <w:bookmarkStart w:id="12" w:name="_Toc45888019"/>
      <w:bookmarkStart w:id="13" w:name="_Toc21344199"/>
      <w:bookmarkStart w:id="14" w:name="_Toc29802732"/>
      <w:bookmarkStart w:id="15" w:name="_Toc68230581"/>
      <w:bookmarkStart w:id="16" w:name="_Toc69083994"/>
      <w:bookmarkStart w:id="17" w:name="_Toc84413441"/>
      <w:bookmarkStart w:id="18" w:name="_Toc36107474"/>
      <w:bookmarkStart w:id="19" w:name="_Toc29801683"/>
      <w:bookmarkStart w:id="20" w:name="_Toc76509023"/>
      <w:bookmarkStart w:id="21" w:name="_Toc37251233"/>
      <w:bookmarkStart w:id="22" w:name="_Toc83580323"/>
      <w:bookmarkStart w:id="23" w:name="_Toc76718013"/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2.1.</w:t>
      </w:r>
      <w:r>
        <w:rPr>
          <w:rFonts w:hint="eastAsia" w:ascii="Arial" w:hAnsi="Arial" w:cs="Arial"/>
          <w:sz w:val="28"/>
          <w:szCs w:val="28"/>
          <w:lang w:val="en-US" w:eastAsia="zh-CN"/>
        </w:rPr>
        <w:tab/>
      </w:r>
      <w:r>
        <w:rPr>
          <w:rFonts w:hint="eastAsia" w:ascii="Arial" w:hAnsi="Arial" w:cs="Arial"/>
          <w:sz w:val="28"/>
          <w:szCs w:val="28"/>
          <w:lang w:val="en-US" w:eastAsia="zh-CN"/>
        </w:rPr>
        <w:t>Asymmetric channel bandwidths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The UE channel bandwidth can be asymmetric in downlink and uplink. In asymmetric channel bandwidth operation, the narrower</w:t>
      </w:r>
      <w:r>
        <w:rPr>
          <w:rFonts w:hint="eastAsia"/>
          <w:lang w:val="en-US" w:eastAsia="zh-CN"/>
        </w:rPr>
        <w:t xml:space="preserve"> </w:t>
      </w:r>
      <w:r>
        <w:t>carrier shall be confined within the frequency range of the wider channel bandwidth.</w:t>
      </w:r>
    </w:p>
    <w:p>
      <w:r>
        <w:t>In FDD, the confinement is defined as a maximum deviation to the Tx-Rx carrier center frequency separation (defined in table 5.4.4-1) as following:</w:t>
      </w:r>
    </w:p>
    <w:p>
      <w:pPr>
        <w:pStyle w:val="43"/>
        <w:jc w:val="center"/>
      </w:pPr>
      <w:r>
        <w:t>ΔF</w:t>
      </w:r>
      <w:r>
        <w:rPr>
          <w:vertAlign w:val="subscript"/>
        </w:rPr>
        <w:t>TX-RX</w:t>
      </w:r>
      <w:r>
        <w:t xml:space="preserve"> = | (BW</w:t>
      </w:r>
      <w:r>
        <w:rPr>
          <w:vertAlign w:val="subscript"/>
        </w:rPr>
        <w:t>DL</w:t>
      </w:r>
      <w:r>
        <w:t xml:space="preserve"> – BW</w:t>
      </w:r>
      <w:r>
        <w:rPr>
          <w:vertAlign w:val="subscript"/>
        </w:rPr>
        <w:t>UL</w:t>
      </w:r>
      <w:r>
        <w:t>)/2 |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</w:pPr>
      <w:r>
        <w:t>The operating bands and supported asymmetric channel bandwidth combinations are defined in table 5.3.6-1.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Observation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the legacy</w:t>
      </w:r>
      <w:r>
        <w:rPr>
          <w:rFonts w:hint="eastAsia"/>
          <w:szCs w:val="24"/>
          <w:lang w:val="en-US" w:eastAsia="zh-CN"/>
        </w:rPr>
        <w:t xml:space="preserve"> restriction for Tx-Rx carrier center frequency separation might be not needed if there are no filtering or duplex between Ka-band DL and UL.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outlineLvl w:val="1"/>
        <w:rPr>
          <w:rFonts w:hint="default"/>
          <w:b/>
          <w:bCs/>
          <w:i w:val="0"/>
          <w:iCs w:val="0"/>
          <w:u w:val="single"/>
          <w:lang w:val="en-US" w:eastAsia="zh-CN"/>
        </w:rPr>
      </w:pPr>
      <w:bookmarkStart w:id="24" w:name="OLE_LINK8"/>
      <w:r>
        <w:rPr>
          <w:rFonts w:hint="eastAsia" w:ascii="Arial" w:hAnsi="Arial" w:cs="Arial"/>
          <w:sz w:val="28"/>
          <w:szCs w:val="28"/>
          <w:lang w:val="en-US" w:eastAsia="zh-CN"/>
        </w:rPr>
        <w:t>2.2. Channel raster and sync raster</w:t>
      </w:r>
    </w:p>
    <w:p>
      <w:pPr>
        <w:pStyle w:val="35"/>
        <w:jc w:val="both"/>
        <w:rPr>
          <w:rFonts w:hint="default" w:eastAsia="宋体"/>
          <w:b w:val="0"/>
          <w:bCs w:val="0"/>
          <w:i w:val="0"/>
          <w:iCs w:val="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i w:val="0"/>
          <w:iCs w:val="0"/>
          <w:kern w:val="2"/>
          <w:sz w:val="21"/>
          <w:szCs w:val="22"/>
          <w:lang w:val="en-US" w:eastAsia="zh-CN"/>
        </w:rPr>
        <w:t>The channel raster for NTN Ka-band could be be the same as band n257, i.e. 60/120kHz to the simplify the VSAT /ESIM/MES implementation complexity for initial access. In addition, sync raster could use similar approach as band n257. It should be noted that range of N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subscript"/>
          <w:lang w:val="en-US" w:eastAsia="zh-CN"/>
        </w:rPr>
        <w:t>REF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baseline"/>
          <w:lang w:val="en-US" w:eastAsia="zh-CN"/>
        </w:rPr>
        <w:t xml:space="preserve"> should fall into 3GHz to 24.25GHz instead of 24.25-52.6GHz. Therefore global raster should be still 15kHz while with step size as 4 and 8 for 60kHz and 120kHz 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lang w:val="en-US" w:eastAsia="zh-CN"/>
        </w:rPr>
        <w:t>ΔF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subscript"/>
          <w:lang w:val="en-US" w:eastAsia="zh-CN"/>
        </w:rPr>
        <w:t>Raster</w:t>
      </w:r>
      <w:r>
        <w:rPr>
          <w:rFonts w:hint="eastAsia" w:ascii="Times New Roman" w:hAnsi="Times New Roman" w:eastAsia="宋体"/>
          <w:b w:val="0"/>
          <w:kern w:val="2"/>
          <w:sz w:val="21"/>
          <w:szCs w:val="22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NR-ARFCN in the Table 2.3-1/2.3-2 for NTN Ka-band.</w:t>
      </w:r>
    </w:p>
    <w:p>
      <w:pPr>
        <w:pStyle w:val="45"/>
        <w:rPr>
          <w:rFonts w:hint="default" w:eastAsia="宋体"/>
          <w:color w:val="auto"/>
          <w:lang w:val="en-US"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2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>2</w:t>
      </w:r>
      <w:r>
        <w:rPr>
          <w:color w:val="auto"/>
        </w:rPr>
        <w:t xml:space="preserve">-1: </w:t>
      </w:r>
      <w:r>
        <w:rPr>
          <w:rFonts w:eastAsia="Yu Mincho"/>
          <w:color w:val="auto"/>
        </w:rPr>
        <w:t>NR-ARFCN parameters for the global frequency raster</w:t>
      </w:r>
      <w:r>
        <w:rPr>
          <w:rFonts w:hint="eastAsia" w:eastAsia="宋体"/>
          <w:color w:val="auto"/>
          <w:lang w:val="en-US" w:eastAsia="zh-CN"/>
        </w:rPr>
        <w:t xml:space="preserve"> [TS 38.101-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 w:eastAsia="宋体"/>
          <w:color w:val="auto"/>
          <w:lang w:val="en-US" w:eastAsia="zh-CN"/>
        </w:rPr>
        <w:t>]</w:t>
      </w:r>
    </w:p>
    <w:tbl>
      <w:tblPr>
        <w:tblStyle w:val="24"/>
        <w:tblW w:w="8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1369"/>
        <w:gridCol w:w="1590"/>
        <w:gridCol w:w="11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Frequency range (MHz)</w:t>
            </w:r>
          </w:p>
        </w:tc>
        <w:tc>
          <w:tcPr>
            <w:tcW w:w="1369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ΔF</w:t>
            </w:r>
            <w:r>
              <w:rPr>
                <w:color w:val="auto"/>
                <w:vertAlign w:val="subscript"/>
              </w:rPr>
              <w:t>Global</w:t>
            </w:r>
            <w:r>
              <w:rPr>
                <w:color w:val="auto"/>
              </w:rPr>
              <w:t xml:space="preserve"> (kHz)</w:t>
            </w:r>
          </w:p>
        </w:tc>
        <w:tc>
          <w:tcPr>
            <w:tcW w:w="1590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F</w:t>
            </w:r>
            <w:r>
              <w:rPr>
                <w:color w:val="auto"/>
                <w:vertAlign w:val="subscript"/>
              </w:rPr>
              <w:t>REF-Offs</w:t>
            </w:r>
            <w:r>
              <w:rPr>
                <w:color w:val="auto"/>
              </w:rPr>
              <w:t xml:space="preserve"> [MHz]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N</w:t>
            </w:r>
            <w:r>
              <w:rPr>
                <w:color w:val="auto"/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</w:tcPr>
          <w:p>
            <w:pPr>
              <w:pStyle w:val="35"/>
              <w:rPr>
                <w:color w:val="auto"/>
                <w:highlight w:val="yellow"/>
              </w:rPr>
            </w:pPr>
            <w:r>
              <w:rPr>
                <w:color w:val="auto"/>
                <w:highlight w:val="none"/>
              </w:rPr>
              <w:t>Range of N</w:t>
            </w:r>
            <w:r>
              <w:rPr>
                <w:color w:val="auto"/>
                <w:highlight w:val="none"/>
                <w:vertAlign w:val="subscript"/>
              </w:rPr>
              <w:t>REF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shd w:val="clear" w:color="auto" w:fill="auto"/>
          </w:tcPr>
          <w:p>
            <w:pPr>
              <w:pStyle w:val="36"/>
              <w:rPr>
                <w:color w:val="auto"/>
                <w:lang w:val="en-US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17300</w:t>
            </w:r>
            <w:r>
              <w:rPr>
                <w:color w:val="auto"/>
                <w:lang w:val="en-US"/>
              </w:rPr>
              <w:t xml:space="preserve"> – </w:t>
            </w:r>
            <w:r>
              <w:rPr>
                <w:rFonts w:hint="eastAsia" w:cs="Arial"/>
                <w:color w:val="auto"/>
                <w:lang w:val="en-US" w:eastAsia="zh-CN"/>
              </w:rPr>
              <w:t>20200</w:t>
            </w:r>
          </w:p>
        </w:tc>
        <w:tc>
          <w:tcPr>
            <w:tcW w:w="1369" w:type="dxa"/>
            <w:shd w:val="clear" w:color="auto" w:fill="auto"/>
          </w:tcPr>
          <w:p>
            <w:pPr>
              <w:pStyle w:val="3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  <w:tc>
          <w:tcPr>
            <w:tcW w:w="1590" w:type="dxa"/>
            <w:shd w:val="clear" w:color="auto" w:fill="auto"/>
            <w:vAlign w:val="bottom"/>
          </w:tcPr>
          <w:p>
            <w:pPr>
              <w:pStyle w:val="36"/>
              <w:rPr>
                <w:rFonts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GB" w:eastAsia="ja-JP" w:bidi="ar-SA"/>
              </w:rPr>
              <w:t>1</w:t>
            </w:r>
            <w:r>
              <w:rPr>
                <w:rFonts w:hint="eastAsia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73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GB" w:eastAsia="ja-JP" w:bidi="ar-SA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6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1580000</w:t>
            </w:r>
          </w:p>
        </w:tc>
        <w:tc>
          <w:tcPr>
            <w:tcW w:w="1935" w:type="dxa"/>
            <w:shd w:val="clear" w:color="auto" w:fill="auto"/>
          </w:tcPr>
          <w:p>
            <w:pPr>
              <w:pStyle w:val="36"/>
              <w:rPr>
                <w:color w:val="auto"/>
                <w:lang w:val="en-US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 xml:space="preserve">1553336 </w:t>
            </w:r>
            <w:r>
              <w:rPr>
                <w:color w:val="auto"/>
                <w:lang w:val="en-US"/>
              </w:rPr>
              <w:t xml:space="preserve">– 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1746664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lang w:val="en-US" w:eastAsia="zh-CN"/>
        </w:rPr>
      </w:pPr>
    </w:p>
    <w:p>
      <w:pPr>
        <w:pStyle w:val="45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Table 2.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.2. NR-ARFCN for NTN Ka-band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color w:val="auto"/>
              </w:rPr>
              <w:t>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ΔF</w:t>
            </w:r>
            <w:r>
              <w:rPr>
                <w:color w:val="auto"/>
                <w:vertAlign w:val="subscript"/>
              </w:rPr>
              <w:t>Raster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color w:val="auto"/>
              </w:rPr>
              <w:t>(kHz)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Uplink and Downlink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Range of N</w:t>
            </w:r>
            <w:r>
              <w:rPr>
                <w:rFonts w:eastAsia="Yu Mincho"/>
                <w:color w:val="auto"/>
                <w:vertAlign w:val="subscript"/>
              </w:rPr>
              <w:t>REF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pStyle w:val="3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n512, n511,n510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rFonts w:eastAsia="Yu Mincho"/>
                <w:color w:val="auto"/>
                <w:lang w:eastAsia="ja-JP"/>
              </w:rPr>
              <w:t>60</w:t>
            </w:r>
          </w:p>
        </w:tc>
        <w:tc>
          <w:tcPr>
            <w:tcW w:w="288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1553336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eastAsia="Yu Mincho"/>
                <w:color w:val="auto"/>
                <w:lang w:eastAsia="ja-JP"/>
              </w:rPr>
              <w:t xml:space="preserve"> – &lt;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rFonts w:eastAsia="Yu Mincho"/>
                <w:color w:val="auto"/>
                <w:lang w:eastAsia="ja-JP"/>
              </w:rPr>
              <w:t xml:space="preserve">&gt; – </w:t>
            </w: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746664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36"/>
              <w:rPr>
                <w:color w:val="auto"/>
                <w:lang w:eastAsia="ja-JP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color w:val="auto"/>
              </w:rPr>
              <w:t>120</w:t>
            </w:r>
          </w:p>
        </w:tc>
        <w:tc>
          <w:tcPr>
            <w:tcW w:w="2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color w:val="auto"/>
                <w:lang w:eastAsia="ja-JP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1553336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  <w:r>
              <w:rPr>
                <w:color w:val="auto"/>
              </w:rPr>
              <w:t>– &lt;</w:t>
            </w:r>
            <w:r>
              <w:rPr>
                <w:rFonts w:hint="eastAsia" w:eastAsia="宋体"/>
                <w:color w:val="auto"/>
                <w:lang w:val="en-US" w:eastAsia="zh-CN"/>
              </w:rPr>
              <w:t>8</w:t>
            </w:r>
            <w:r>
              <w:rPr>
                <w:color w:val="auto"/>
              </w:rPr>
              <w:t xml:space="preserve">&gt; – 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1746664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default"/>
          <w:b/>
          <w:bCs/>
          <w:i w:val="0"/>
          <w:iCs w:val="0"/>
          <w:color w:val="auto"/>
          <w:u w:val="none"/>
          <w:lang w:val="en-US" w:eastAsia="zh-CN"/>
        </w:rPr>
      </w:pPr>
    </w:p>
    <w:p>
      <w:pPr>
        <w:pStyle w:val="35"/>
        <w:jc w:val="both"/>
        <w:rPr>
          <w:rFonts w:hint="default" w:ascii="Times New Roman" w:hAnsi="Times New Roman" w:eastAsia="宋体"/>
          <w:b w:val="0"/>
          <w:bCs w:val="0"/>
          <w:i w:val="0"/>
          <w:iCs w:val="0"/>
          <w:kern w:val="2"/>
          <w:sz w:val="21"/>
          <w:szCs w:val="22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i w:val="0"/>
          <w:iCs w:val="0"/>
          <w:kern w:val="2"/>
          <w:sz w:val="21"/>
          <w:szCs w:val="22"/>
          <w:lang w:val="en-US" w:eastAsia="zh-CN"/>
        </w:rPr>
        <w:t>Similar as NR-ARFCN, it should be noted that range of GSCN should fall into 3GHz to 24.25GHz instead of 24.25-52.6GHz. Therefore sync raster should be still 1.44MHz while with step size as 12 (17.28MHz) and 24 (34.56MHz) for 120kHz and 240kHz SSB.</w:t>
      </w:r>
    </w:p>
    <w:p>
      <w:pPr>
        <w:pStyle w:val="45"/>
        <w:rPr>
          <w:rFonts w:hint="eastAsia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default"/>
          <w:color w:val="auto"/>
          <w:lang w:val="en-US" w:eastAsia="zh-CN"/>
        </w:rPr>
        <w:t>: GSCN parameters for the global frequency raster</w:t>
      </w:r>
    </w:p>
    <w:tbl>
      <w:tblPr>
        <w:tblStyle w:val="24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3000 – 24250 MHz</w:t>
            </w:r>
          </w:p>
        </w:tc>
        <w:tc>
          <w:tcPr>
            <w:tcW w:w="3534" w:type="dxa"/>
            <w:shd w:val="clear" w:color="auto" w:fill="auto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3000 MHz + N * 1.44 MHz</w:t>
            </w:r>
          </w:p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N = 0:14756</w:t>
            </w:r>
          </w:p>
        </w:tc>
        <w:tc>
          <w:tcPr>
            <w:tcW w:w="1927" w:type="dxa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7499 + N</w:t>
            </w:r>
          </w:p>
        </w:tc>
        <w:tc>
          <w:tcPr>
            <w:tcW w:w="1995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7499 – 22255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48"/>
              <w:rPr>
                <w:color w:val="auto"/>
              </w:rPr>
            </w:pPr>
            <w:r>
              <w:rPr>
                <w:color w:val="auto"/>
              </w:rPr>
              <w:t>NOTE 1: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The default value for operating bands with </w:t>
            </w:r>
            <w:r>
              <w:rPr>
                <w:rFonts w:hint="eastAsia"/>
                <w:color w:val="auto"/>
                <w:lang w:eastAsia="zh-CN"/>
              </w:rPr>
              <w:t>which only support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SCS spaced channel raster(s) is M=3.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eastAsia"/>
          <w:b/>
          <w:bCs/>
          <w:i w:val="0"/>
          <w:iCs w:val="0"/>
          <w:color w:val="auto"/>
          <w:u w:val="none"/>
          <w:lang w:val="en-US" w:eastAsia="zh-CN"/>
        </w:rPr>
      </w:pPr>
    </w:p>
    <w:tbl>
      <w:tblPr>
        <w:tblStyle w:val="24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17700</w:t>
            </w:r>
            <w:r>
              <w:rPr>
                <w:color w:val="auto"/>
                <w:lang w:val="en-US"/>
              </w:rPr>
              <w:t xml:space="preserve"> – </w:t>
            </w:r>
            <w:r>
              <w:rPr>
                <w:rFonts w:hint="eastAsia" w:cs="Arial"/>
                <w:color w:val="auto"/>
                <w:lang w:val="en-US" w:eastAsia="zh-CN"/>
              </w:rPr>
              <w:t>20200</w:t>
            </w:r>
            <w:r>
              <w:rPr>
                <w:color w:val="auto"/>
              </w:rPr>
              <w:t xml:space="preserve"> MHz</w:t>
            </w:r>
          </w:p>
        </w:tc>
        <w:tc>
          <w:tcPr>
            <w:tcW w:w="3534" w:type="dxa"/>
            <w:shd w:val="clear" w:color="auto" w:fill="auto"/>
          </w:tcPr>
          <w:p>
            <w:pPr>
              <w:pStyle w:val="36"/>
              <w:rPr>
                <w:color w:val="auto"/>
              </w:rPr>
            </w:pPr>
            <w:r>
              <w:rPr>
                <w:rFonts w:hint="eastAsia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3000MHz</w:t>
            </w:r>
            <w:r>
              <w:rPr>
                <w:color w:val="auto"/>
              </w:rPr>
              <w:t xml:space="preserve"> MHz + N *</w:t>
            </w:r>
            <w:r>
              <w:rPr>
                <w:rFonts w:hint="eastAsia" w:eastAsia="宋体"/>
                <w:color w:val="auto"/>
                <w:lang w:val="en-US" w:eastAsia="zh-CN"/>
              </w:rPr>
              <w:t>1.44</w:t>
            </w:r>
            <w:r>
              <w:rPr>
                <w:color w:val="auto"/>
              </w:rPr>
              <w:t xml:space="preserve"> MHz</w:t>
            </w:r>
          </w:p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 w:eastAsia="宋体"/>
                <w:color w:val="auto"/>
                <w:u w:val="none"/>
                <w:lang w:val="en-US" w:eastAsia="zh-CN"/>
              </w:rPr>
              <w:t xml:space="preserve">N = </w:t>
            </w:r>
            <w:r>
              <w:rPr>
                <w:rFonts w:hint="eastAsia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10209:11944</w:t>
            </w:r>
          </w:p>
        </w:tc>
        <w:tc>
          <w:tcPr>
            <w:tcW w:w="1927" w:type="dxa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7499 + N</w:t>
            </w:r>
          </w:p>
        </w:tc>
        <w:tc>
          <w:tcPr>
            <w:tcW w:w="1995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17430</w:t>
            </w:r>
            <w:r>
              <w:rPr>
                <w:color w:val="auto"/>
              </w:rPr>
              <w:t xml:space="preserve"> – </w:t>
            </w:r>
            <w:r>
              <w:rPr>
                <w:rFonts w:hint="default"/>
                <w:color w:val="auto"/>
                <w:lang w:val="en-US" w:eastAsia="zh-CN"/>
              </w:rPr>
              <w:t>19443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48"/>
            </w:pPr>
            <w:r>
              <w:t>NOTE 1:</w:t>
            </w:r>
            <w:r>
              <w:tab/>
            </w:r>
            <w:r>
              <w:t xml:space="preserve">The default value for operating bands with </w:t>
            </w:r>
            <w:r>
              <w:rPr>
                <w:rFonts w:hint="eastAsia"/>
                <w:lang w:eastAsia="zh-CN"/>
              </w:rPr>
              <w:t>which only support</w:t>
            </w:r>
            <w:r>
              <w:rPr>
                <w:rFonts w:hint="eastAsia"/>
              </w:rPr>
              <w:t xml:space="preserve"> </w:t>
            </w:r>
            <w:r>
              <w:t>SCS spaced channel raster(s) is M=3.</w:t>
            </w:r>
          </w:p>
        </w:tc>
      </w:tr>
    </w:tbl>
    <w:p>
      <w:pPr>
        <w:pStyle w:val="45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Table 2.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.4. GSCN for NTN Ka-band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2441"/>
        <w:gridCol w:w="2395"/>
        <w:gridCol w:w="2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t>n</w:t>
            </w:r>
            <w:r>
              <w:rPr>
                <w:rFonts w:hint="eastAsia" w:eastAsia="宋体"/>
                <w:lang w:val="en-US" w:eastAsia="zh-CN"/>
              </w:rPr>
              <w:t>512]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D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17448</w:t>
            </w:r>
            <w:r>
              <w:t>- &lt;</w:t>
            </w:r>
            <w:r>
              <w:rPr>
                <w:rFonts w:hint="eastAsia"/>
                <w:lang w:val="en-US" w:eastAsia="zh-CN"/>
              </w:rPr>
              <w:t>12</w:t>
            </w:r>
            <w:r>
              <w:t xml:space="preserve">&gt; - </w:t>
            </w:r>
            <w:r>
              <w:rPr>
                <w:rFonts w:hint="eastAsia"/>
                <w:lang w:val="en-US" w:eastAsia="zh-CN"/>
              </w:rPr>
              <w:t>19428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E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17472</w:t>
            </w:r>
            <w:r>
              <w:t xml:space="preserve"> - &lt;</w:t>
            </w:r>
            <w:r>
              <w:rPr>
                <w:rFonts w:hint="eastAsia"/>
                <w:lang w:val="en-US" w:eastAsia="zh-CN"/>
              </w:rPr>
              <w:t>24</w:t>
            </w:r>
            <w:r>
              <w:t xml:space="preserve">&gt; - </w:t>
            </w:r>
            <w:r>
              <w:rPr>
                <w:rFonts w:hint="eastAsia"/>
                <w:lang w:val="en-US" w:eastAsia="zh-CN"/>
              </w:rPr>
              <w:t>19416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</w:pPr>
            <w:r>
              <w:t>NOTE 1:</w:t>
            </w:r>
            <w:r>
              <w:tab/>
            </w:r>
            <w:r>
              <w:t>SS Block pattern is defined in clause 4.1 in TS 38.213 [10].</w:t>
            </w:r>
          </w:p>
          <w:p>
            <w:pPr>
              <w:pStyle w:val="48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2: </w:t>
            </w:r>
            <w:r>
              <w:rPr>
                <w:rFonts w:hint="eastAsia"/>
                <w:lang w:val="en-US" w:eastAsia="zh-CN"/>
              </w:rPr>
              <w:t xml:space="preserve"> Step size 12 equal to 17.28MHz by 1.44MHz*12 and step size 24 equals to 34.56MHz by 1.44MHz*24.</w:t>
            </w:r>
          </w:p>
        </w:tc>
      </w:tr>
      <w:bookmarkEnd w:id="24"/>
    </w:tbl>
    <w:p>
      <w:pPr>
        <w:spacing w:before="120" w:beforeLines="0" w:after="120" w:afterLines="0"/>
        <w:ind w:firstLine="0" w:firstLineChars="0"/>
        <w:jc w:val="left"/>
        <w:rPr>
          <w:rFonts w:hint="eastAsia" w:eastAsia="Times New Roman" w:cs="Times New Roman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GSCN in the Table 2.2-3/2.2-4 for NTN Ka-band MSS-band.</w:t>
      </w:r>
    </w:p>
    <w:bookmarkEnd w:id="2"/>
    <w:bookmarkEnd w:id="3"/>
    <w:bookmarkEnd w:id="4"/>
    <w:bookmarkEnd w:id="5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 w:eastAsia="zh-CN"/>
        </w:rPr>
        <w:t>from system parameter perspective for NTN Ka-band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and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topLinePunct w:val="0"/>
        <w:bidi w:val="0"/>
        <w:spacing w:before="0" w:beforeLines="-2147483648" w:after="0" w:afterLines="-2147483648"/>
        <w:ind w:firstLine="0" w:firstLineChars="0"/>
        <w:jc w:val="left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Observation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the legacy</w:t>
      </w:r>
      <w:r>
        <w:rPr>
          <w:rFonts w:hint="eastAsia"/>
          <w:szCs w:val="24"/>
          <w:lang w:val="en-US" w:eastAsia="zh-CN"/>
        </w:rPr>
        <w:t xml:space="preserve"> restriction for Tx-Rx carrier center frequency separation might be not needed if there are no filtering or duplex between Ka-band DL and UL.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NR-ARFCN in the Table 2.3-1/2.3-2 for NTN Ka-band.</w:t>
      </w:r>
    </w:p>
    <w:p>
      <w:pPr>
        <w:pStyle w:val="45"/>
        <w:rPr>
          <w:rFonts w:hint="default" w:eastAsia="宋体"/>
          <w:color w:val="auto"/>
          <w:lang w:val="en-US"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val="en-US" w:eastAsia="zh-CN"/>
        </w:rPr>
        <w:t>2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>2</w:t>
      </w:r>
      <w:r>
        <w:rPr>
          <w:color w:val="auto"/>
        </w:rPr>
        <w:t xml:space="preserve">-1: </w:t>
      </w:r>
      <w:r>
        <w:rPr>
          <w:rFonts w:eastAsia="Yu Mincho"/>
          <w:color w:val="auto"/>
        </w:rPr>
        <w:t>NR-ARFCN parameters for the global frequency raster</w:t>
      </w:r>
      <w:r>
        <w:rPr>
          <w:rFonts w:hint="eastAsia" w:eastAsia="宋体"/>
          <w:color w:val="auto"/>
          <w:lang w:val="en-US" w:eastAsia="zh-CN"/>
        </w:rPr>
        <w:t xml:space="preserve"> [TS 38.101-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 w:eastAsia="宋体"/>
          <w:color w:val="auto"/>
          <w:lang w:val="en-US" w:eastAsia="zh-CN"/>
        </w:rPr>
        <w:t>]</w:t>
      </w:r>
    </w:p>
    <w:tbl>
      <w:tblPr>
        <w:tblStyle w:val="24"/>
        <w:tblW w:w="8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1369"/>
        <w:gridCol w:w="1590"/>
        <w:gridCol w:w="1134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Frequency range (MHz)</w:t>
            </w:r>
          </w:p>
        </w:tc>
        <w:tc>
          <w:tcPr>
            <w:tcW w:w="1369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ΔF</w:t>
            </w:r>
            <w:r>
              <w:rPr>
                <w:color w:val="auto"/>
                <w:vertAlign w:val="subscript"/>
              </w:rPr>
              <w:t>Global</w:t>
            </w:r>
            <w:r>
              <w:rPr>
                <w:color w:val="auto"/>
              </w:rPr>
              <w:t xml:space="preserve"> (kHz)</w:t>
            </w:r>
          </w:p>
        </w:tc>
        <w:tc>
          <w:tcPr>
            <w:tcW w:w="1590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F</w:t>
            </w:r>
            <w:r>
              <w:rPr>
                <w:color w:val="auto"/>
                <w:vertAlign w:val="subscript"/>
              </w:rPr>
              <w:t>REF-Offs</w:t>
            </w:r>
            <w:r>
              <w:rPr>
                <w:color w:val="auto"/>
              </w:rPr>
              <w:t xml:space="preserve"> [MHz]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N</w:t>
            </w:r>
            <w:r>
              <w:rPr>
                <w:color w:val="auto"/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</w:tcPr>
          <w:p>
            <w:pPr>
              <w:pStyle w:val="35"/>
              <w:rPr>
                <w:color w:val="auto"/>
                <w:highlight w:val="yellow"/>
              </w:rPr>
            </w:pPr>
            <w:r>
              <w:rPr>
                <w:color w:val="auto"/>
                <w:highlight w:val="none"/>
              </w:rPr>
              <w:t>Range of N</w:t>
            </w:r>
            <w:r>
              <w:rPr>
                <w:color w:val="auto"/>
                <w:highlight w:val="none"/>
                <w:vertAlign w:val="subscript"/>
              </w:rPr>
              <w:t>REF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shd w:val="clear" w:color="auto" w:fill="auto"/>
          </w:tcPr>
          <w:p>
            <w:pPr>
              <w:pStyle w:val="36"/>
              <w:rPr>
                <w:color w:val="auto"/>
                <w:lang w:val="en-US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17300</w:t>
            </w:r>
            <w:r>
              <w:rPr>
                <w:color w:val="auto"/>
                <w:lang w:val="en-US"/>
              </w:rPr>
              <w:t xml:space="preserve"> – </w:t>
            </w:r>
            <w:r>
              <w:rPr>
                <w:rFonts w:hint="eastAsia" w:cs="Arial"/>
                <w:color w:val="auto"/>
                <w:lang w:val="en-US" w:eastAsia="zh-CN"/>
              </w:rPr>
              <w:t>20200</w:t>
            </w:r>
          </w:p>
        </w:tc>
        <w:tc>
          <w:tcPr>
            <w:tcW w:w="1369" w:type="dxa"/>
            <w:shd w:val="clear" w:color="auto" w:fill="auto"/>
          </w:tcPr>
          <w:p>
            <w:pPr>
              <w:pStyle w:val="3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</w:p>
        </w:tc>
        <w:tc>
          <w:tcPr>
            <w:tcW w:w="1590" w:type="dxa"/>
            <w:shd w:val="clear" w:color="auto" w:fill="auto"/>
            <w:vAlign w:val="bottom"/>
          </w:tcPr>
          <w:p>
            <w:pPr>
              <w:pStyle w:val="36"/>
              <w:rPr>
                <w:rFonts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GB" w:eastAsia="ja-JP" w:bidi="ar-SA"/>
              </w:rPr>
              <w:t>1</w:t>
            </w:r>
            <w:r>
              <w:rPr>
                <w:rFonts w:hint="eastAsia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73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GB" w:eastAsia="ja-JP" w:bidi="ar-SA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6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1580000</w:t>
            </w:r>
          </w:p>
        </w:tc>
        <w:tc>
          <w:tcPr>
            <w:tcW w:w="1935" w:type="dxa"/>
            <w:shd w:val="clear" w:color="auto" w:fill="auto"/>
          </w:tcPr>
          <w:p>
            <w:pPr>
              <w:pStyle w:val="36"/>
              <w:rPr>
                <w:color w:val="auto"/>
                <w:lang w:val="en-US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 xml:space="preserve">1553336 </w:t>
            </w:r>
            <w:r>
              <w:rPr>
                <w:color w:val="auto"/>
                <w:lang w:val="en-US"/>
              </w:rPr>
              <w:t xml:space="preserve">– 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1746664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topLinePunct w:val="0"/>
        <w:bidi w:val="0"/>
        <w:snapToGrid/>
        <w:jc w:val="left"/>
        <w:rPr>
          <w:rFonts w:hint="eastAsia"/>
          <w:b w:val="0"/>
          <w:bCs w:val="0"/>
          <w:i w:val="0"/>
          <w:iCs w:val="0"/>
          <w:color w:val="auto"/>
          <w:lang w:val="en-US" w:eastAsia="zh-CN"/>
        </w:rPr>
      </w:pPr>
    </w:p>
    <w:p>
      <w:pPr>
        <w:pStyle w:val="45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Table 2.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.2. NR-ARFCN for NTN Ka-band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color w:val="auto"/>
              </w:rPr>
              <w:t>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color w:val="auto"/>
              </w:rPr>
            </w:pPr>
            <w:r>
              <w:rPr>
                <w:color w:val="auto"/>
              </w:rPr>
              <w:t>ΔF</w:t>
            </w:r>
            <w:r>
              <w:rPr>
                <w:color w:val="auto"/>
                <w:vertAlign w:val="subscript"/>
              </w:rPr>
              <w:t>Raster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color w:val="auto"/>
              </w:rPr>
              <w:t>(kHz)</w:t>
            </w:r>
          </w:p>
        </w:tc>
        <w:tc>
          <w:tcPr>
            <w:tcW w:w="2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Uplink and Downlink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Range of N</w:t>
            </w:r>
            <w:r>
              <w:rPr>
                <w:rFonts w:eastAsia="Yu Mincho"/>
                <w:color w:val="auto"/>
                <w:vertAlign w:val="subscript"/>
              </w:rPr>
              <w:t>REF</w:t>
            </w:r>
          </w:p>
          <w:p>
            <w:pPr>
              <w:pStyle w:val="35"/>
              <w:rPr>
                <w:rFonts w:eastAsia="Yu Mincho"/>
                <w:color w:val="auto"/>
              </w:rPr>
            </w:pPr>
            <w:r>
              <w:rPr>
                <w:rFonts w:eastAsia="Yu Mincho"/>
                <w:color w:val="aut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pStyle w:val="36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n512, n511,n510</w:t>
            </w:r>
          </w:p>
        </w:tc>
        <w:tc>
          <w:tcPr>
            <w:tcW w:w="114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rFonts w:eastAsia="Yu Mincho"/>
                <w:color w:val="auto"/>
                <w:lang w:eastAsia="ja-JP"/>
              </w:rPr>
              <w:t>60</w:t>
            </w:r>
          </w:p>
        </w:tc>
        <w:tc>
          <w:tcPr>
            <w:tcW w:w="288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1553336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eastAsia="Yu Mincho"/>
                <w:color w:val="auto"/>
                <w:lang w:eastAsia="ja-JP"/>
              </w:rPr>
              <w:t xml:space="preserve"> – &lt;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rFonts w:eastAsia="Yu Mincho"/>
                <w:color w:val="auto"/>
                <w:lang w:eastAsia="ja-JP"/>
              </w:rPr>
              <w:t xml:space="preserve">&gt; – </w:t>
            </w: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746664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36"/>
              <w:rPr>
                <w:color w:val="auto"/>
                <w:lang w:eastAsia="ja-JP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36"/>
              <w:rPr>
                <w:rFonts w:eastAsia="Yu Mincho"/>
                <w:color w:val="auto"/>
                <w:lang w:eastAsia="ja-JP"/>
              </w:rPr>
            </w:pPr>
            <w:r>
              <w:rPr>
                <w:color w:val="auto"/>
              </w:rPr>
              <w:t>120</w:t>
            </w:r>
          </w:p>
        </w:tc>
        <w:tc>
          <w:tcPr>
            <w:tcW w:w="2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color w:val="auto"/>
                <w:lang w:eastAsia="ja-JP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1553336</w:t>
            </w:r>
            <w:r>
              <w:rPr>
                <w:color w:val="auto"/>
                <w:lang w:val="en-US"/>
              </w:rPr>
              <w:t xml:space="preserve"> 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  <w:r>
              <w:rPr>
                <w:color w:val="auto"/>
              </w:rPr>
              <w:t>– &lt;</w:t>
            </w:r>
            <w:r>
              <w:rPr>
                <w:rFonts w:hint="eastAsia" w:eastAsia="宋体"/>
                <w:color w:val="auto"/>
                <w:lang w:val="en-US" w:eastAsia="zh-CN"/>
              </w:rPr>
              <w:t>8</w:t>
            </w:r>
            <w:r>
              <w:rPr>
                <w:color w:val="auto"/>
              </w:rPr>
              <w:t xml:space="preserve">&gt; – </w:t>
            </w:r>
            <w:r>
              <w:rPr>
                <w:rFonts w:hint="default" w:ascii="Arial" w:hAnsi="Arial" w:eastAsia="Times New Roman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1746664</w:t>
            </w:r>
            <w:r>
              <w:rPr>
                <w:rFonts w:eastAsia="Yu Mincho"/>
                <w:color w:val="auto"/>
                <w:lang w:eastAsia="ja-JP"/>
              </w:rPr>
              <w:t xml:space="preserve"> </w:t>
            </w:r>
          </w:p>
        </w:tc>
      </w:tr>
    </w:tbl>
    <w:p>
      <w:pPr>
        <w:spacing w:before="120" w:beforeLines="0" w:after="120" w:afterLines="0"/>
        <w:ind w:firstLine="0" w:firstLineChars="0"/>
        <w:jc w:val="left"/>
        <w:rPr>
          <w:rFonts w:hint="eastAsia"/>
          <w:b/>
          <w:bCs/>
          <w:i w:val="0"/>
          <w:iCs w:val="0"/>
          <w:lang w:val="en-US" w:eastAsia="zh-CN"/>
        </w:rPr>
      </w:pPr>
    </w:p>
    <w:p>
      <w:pPr>
        <w:spacing w:before="120" w:beforeLines="0" w:after="120" w:afterLines="0"/>
        <w:ind w:firstLine="0" w:firstLineChars="0"/>
        <w:jc w:val="left"/>
        <w:rPr>
          <w:rFonts w:hint="eastAsia" w:eastAsia="Times New Roman" w:cs="Times New Roman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to use following GSCN in the Table 2.3-3/2.3-4 for NTN Ka-band MSS-band.</w:t>
      </w:r>
    </w:p>
    <w:p>
      <w:pPr>
        <w:pStyle w:val="45"/>
        <w:rPr>
          <w:rFonts w:hint="eastAsia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 xml:space="preserve">Table 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-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default"/>
          <w:color w:val="auto"/>
          <w:lang w:val="en-US" w:eastAsia="zh-CN"/>
        </w:rPr>
        <w:t>: GSCN parameters for the global frequency raster</w:t>
      </w:r>
    </w:p>
    <w:tbl>
      <w:tblPr>
        <w:tblStyle w:val="24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3000 – 24250 MHz</w:t>
            </w:r>
          </w:p>
        </w:tc>
        <w:tc>
          <w:tcPr>
            <w:tcW w:w="3534" w:type="dxa"/>
            <w:shd w:val="clear" w:color="auto" w:fill="auto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3000 MHz + N * 1.44 MHz</w:t>
            </w:r>
          </w:p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N = 0:14756</w:t>
            </w:r>
          </w:p>
        </w:tc>
        <w:tc>
          <w:tcPr>
            <w:tcW w:w="1927" w:type="dxa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7499 + N</w:t>
            </w:r>
          </w:p>
        </w:tc>
        <w:tc>
          <w:tcPr>
            <w:tcW w:w="1995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color w:val="auto"/>
              </w:rPr>
              <w:t>7499 – 22255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48"/>
              <w:rPr>
                <w:color w:val="auto"/>
              </w:rPr>
            </w:pPr>
            <w:r>
              <w:rPr>
                <w:color w:val="auto"/>
              </w:rPr>
              <w:t>NOTE 1: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 xml:space="preserve">The default value for operating bands with </w:t>
            </w:r>
            <w:r>
              <w:rPr>
                <w:rFonts w:hint="eastAsia"/>
                <w:color w:val="auto"/>
                <w:lang w:eastAsia="zh-CN"/>
              </w:rPr>
              <w:t>which only support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SCS spaced channel raster(s) is M=3.</w:t>
            </w:r>
          </w:p>
        </w:tc>
      </w:tr>
    </w:tbl>
    <w:p>
      <w:pPr>
        <w:keepNext/>
        <w:keepLines/>
        <w:pageBreakBefore w:val="0"/>
        <w:widowControl/>
        <w:suppressLineNumbers w:val="0"/>
        <w:kinsoku/>
        <w:wordWrap/>
        <w:topLinePunct w:val="0"/>
        <w:bidi w:val="0"/>
        <w:ind w:firstLine="0" w:firstLineChars="0"/>
        <w:jc w:val="both"/>
        <w:rPr>
          <w:rFonts w:hint="eastAsia"/>
          <w:b/>
          <w:bCs/>
          <w:i w:val="0"/>
          <w:iCs w:val="0"/>
          <w:color w:val="auto"/>
          <w:u w:val="none"/>
          <w:lang w:val="en-US" w:eastAsia="zh-CN"/>
        </w:rPr>
      </w:pPr>
    </w:p>
    <w:tbl>
      <w:tblPr>
        <w:tblStyle w:val="24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1"/>
        <w:gridCol w:w="3534"/>
        <w:gridCol w:w="1927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1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 w:cs="Arial"/>
                <w:color w:val="auto"/>
                <w:lang w:val="en-US" w:eastAsia="zh-CN"/>
              </w:rPr>
              <w:t>17700</w:t>
            </w:r>
            <w:r>
              <w:rPr>
                <w:color w:val="auto"/>
                <w:lang w:val="en-US"/>
              </w:rPr>
              <w:t xml:space="preserve"> – </w:t>
            </w:r>
            <w:r>
              <w:rPr>
                <w:rFonts w:hint="eastAsia" w:cs="Arial"/>
                <w:color w:val="auto"/>
                <w:lang w:val="en-US" w:eastAsia="zh-CN"/>
              </w:rPr>
              <w:t>20200</w:t>
            </w:r>
            <w:r>
              <w:rPr>
                <w:color w:val="auto"/>
              </w:rPr>
              <w:t xml:space="preserve"> MHz</w:t>
            </w:r>
          </w:p>
        </w:tc>
        <w:tc>
          <w:tcPr>
            <w:tcW w:w="3534" w:type="dxa"/>
            <w:shd w:val="clear" w:color="auto" w:fill="auto"/>
          </w:tcPr>
          <w:p>
            <w:pPr>
              <w:pStyle w:val="36"/>
              <w:rPr>
                <w:color w:val="auto"/>
              </w:rPr>
            </w:pPr>
            <w:r>
              <w:rPr>
                <w:rFonts w:hint="eastAsia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-SA"/>
              </w:rPr>
              <w:t>3000MHz</w:t>
            </w:r>
            <w:r>
              <w:rPr>
                <w:color w:val="auto"/>
              </w:rPr>
              <w:t xml:space="preserve"> MHz + N *</w:t>
            </w:r>
            <w:r>
              <w:rPr>
                <w:rFonts w:hint="eastAsia" w:eastAsia="宋体"/>
                <w:color w:val="auto"/>
                <w:lang w:val="en-US" w:eastAsia="zh-CN"/>
              </w:rPr>
              <w:t>1.44</w:t>
            </w:r>
            <w:r>
              <w:rPr>
                <w:color w:val="auto"/>
              </w:rPr>
              <w:t xml:space="preserve"> MHz</w:t>
            </w:r>
          </w:p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 w:eastAsia="宋体"/>
                <w:color w:val="auto"/>
                <w:u w:val="none"/>
                <w:lang w:val="en-US" w:eastAsia="zh-CN"/>
              </w:rPr>
              <w:t xml:space="preserve">N = </w:t>
            </w:r>
            <w:r>
              <w:rPr>
                <w:rFonts w:hint="eastAsia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</w:rPr>
              <w:t>10209:11944</w:t>
            </w:r>
          </w:p>
        </w:tc>
        <w:tc>
          <w:tcPr>
            <w:tcW w:w="1927" w:type="dxa"/>
          </w:tcPr>
          <w:p>
            <w:pPr>
              <w:pStyle w:val="36"/>
              <w:rPr>
                <w:color w:val="auto"/>
              </w:rPr>
            </w:pPr>
            <w:r>
              <w:rPr>
                <w:color w:val="auto"/>
              </w:rPr>
              <w:t>7499 + N</w:t>
            </w:r>
          </w:p>
        </w:tc>
        <w:tc>
          <w:tcPr>
            <w:tcW w:w="1995" w:type="dxa"/>
            <w:shd w:val="clear" w:color="auto" w:fill="auto"/>
          </w:tcPr>
          <w:p>
            <w:pPr>
              <w:pStyle w:val="36"/>
              <w:rPr>
                <w:b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17430</w:t>
            </w:r>
            <w:r>
              <w:rPr>
                <w:color w:val="auto"/>
              </w:rPr>
              <w:t xml:space="preserve"> – </w:t>
            </w:r>
            <w:r>
              <w:rPr>
                <w:rFonts w:hint="default"/>
                <w:color w:val="auto"/>
                <w:lang w:val="en-US" w:eastAsia="zh-CN"/>
              </w:rPr>
              <w:t>19443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>
            <w:pPr>
              <w:pStyle w:val="48"/>
            </w:pPr>
            <w:r>
              <w:t>NOTE 1:</w:t>
            </w:r>
            <w:r>
              <w:tab/>
            </w:r>
            <w:r>
              <w:t xml:space="preserve">The default value for operating bands with </w:t>
            </w:r>
            <w:r>
              <w:rPr>
                <w:rFonts w:hint="eastAsia"/>
                <w:lang w:eastAsia="zh-CN"/>
              </w:rPr>
              <w:t>which only support</w:t>
            </w:r>
            <w:r>
              <w:rPr>
                <w:rFonts w:hint="eastAsia"/>
              </w:rPr>
              <w:t xml:space="preserve"> </w:t>
            </w:r>
            <w:r>
              <w:t>SCS spaced channel raster(s) is M=3.</w:t>
            </w:r>
          </w:p>
        </w:tc>
      </w:tr>
    </w:tbl>
    <w:p>
      <w:pPr>
        <w:pStyle w:val="45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Table 2.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.4. GSCN for NTN Ka-band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3"/>
        <w:gridCol w:w="2441"/>
        <w:gridCol w:w="2395"/>
        <w:gridCol w:w="2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3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</w:t>
            </w:r>
            <w:r>
              <w:t>n</w:t>
            </w:r>
            <w:r>
              <w:rPr>
                <w:rFonts w:hint="eastAsia" w:eastAsia="宋体"/>
                <w:lang w:val="en-US" w:eastAsia="zh-CN"/>
              </w:rPr>
              <w:t>512]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val="en-US" w:eastAsia="ja-JP"/>
              </w:rPr>
            </w:pPr>
            <w:r>
              <w:t>120 kHz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D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17448</w:t>
            </w:r>
            <w:r>
              <w:t>- &lt;</w:t>
            </w:r>
            <w:r>
              <w:rPr>
                <w:rFonts w:hint="eastAsia"/>
                <w:lang w:val="en-US" w:eastAsia="zh-CN"/>
              </w:rPr>
              <w:t>12</w:t>
            </w:r>
            <w:r>
              <w:t xml:space="preserve">&gt; - </w:t>
            </w:r>
            <w:r>
              <w:rPr>
                <w:rFonts w:hint="eastAsia"/>
                <w:lang w:val="en-US" w:eastAsia="zh-CN"/>
              </w:rPr>
              <w:t>19428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6"/>
              <w:rPr>
                <w:rFonts w:eastAsia="Yu Mincho"/>
              </w:rPr>
            </w:pP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val="en-US" w:eastAsia="ja-JP"/>
              </w:rPr>
            </w:pPr>
            <w:r>
              <w:t>240 kHz</w:t>
            </w:r>
          </w:p>
        </w:tc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Case E</w:t>
            </w:r>
          </w:p>
        </w:tc>
        <w:tc>
          <w:tcPr>
            <w:tcW w:w="2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17472</w:t>
            </w:r>
            <w:r>
              <w:t xml:space="preserve"> - &lt;</w:t>
            </w:r>
            <w:r>
              <w:rPr>
                <w:rFonts w:hint="eastAsia"/>
                <w:lang w:val="en-US" w:eastAsia="zh-CN"/>
              </w:rPr>
              <w:t>24</w:t>
            </w:r>
            <w:r>
              <w:t xml:space="preserve">&gt; - </w:t>
            </w:r>
            <w:r>
              <w:rPr>
                <w:rFonts w:hint="eastAsia"/>
                <w:lang w:val="en-US" w:eastAsia="zh-CN"/>
              </w:rPr>
              <w:t>19416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</w:pPr>
            <w:r>
              <w:t>NOTE 1:</w:t>
            </w:r>
            <w:r>
              <w:tab/>
            </w:r>
            <w:r>
              <w:t>SS Block pattern is defined in clause 4.1 in TS 38.213 [10].</w:t>
            </w:r>
          </w:p>
          <w:p>
            <w:pPr>
              <w:pStyle w:val="48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2: </w:t>
            </w:r>
            <w:r>
              <w:rPr>
                <w:rFonts w:hint="eastAsia"/>
                <w:lang w:val="en-US" w:eastAsia="zh-CN"/>
              </w:rPr>
              <w:t xml:space="preserve"> Step size 12 equal to 17.28MHz by 1.44MHz*12 and step size 24 equals to 34.56MHz by 1.44MHz*24.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RP-221819, 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RP-222654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Core part: NR NTN (Non-Terrestrial Networks) enhancements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38.821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38.803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sz w:val="20"/>
          <w:szCs w:val="20"/>
          <w:highlight w:val="none"/>
          <w:lang w:val="en-US" w:eastAsia="zh-CN"/>
        </w:rPr>
        <w:t>TR 38.828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>R4-2217496</w:t>
      </w:r>
      <w:r>
        <w:rPr>
          <w:rFonts w:hint="eastAsia" w:cs="Times New Roman"/>
          <w:b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  <w:t>Email discussion summary for [104-bis-e][312] NR_NTN_enh_Part1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>R4-2217467</w:t>
      </w:r>
      <w:r>
        <w:rPr>
          <w:rFonts w:hint="eastAsia" w:cs="Times New Roman"/>
          <w:b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  <w:t>WF on NR NTN Enhancements Part1</w:t>
      </w:r>
      <w:r>
        <w:rPr>
          <w:rFonts w:hint="eastAsia" w:cs="Times New Roman"/>
          <w:b w:val="0"/>
          <w:sz w:val="20"/>
          <w:szCs w:val="20"/>
          <w:highlight w:val="none"/>
          <w:lang w:val="en-US" w:eastAsia="zh-CN"/>
        </w:rPr>
        <w:t>, Thales,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begin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instrText xml:space="preserve"> HYPERLINK "https://www.3gpp.org/ftp/TSG_RAN/WG4_Radio/TSGR4_84/Docs/R4-1709181.zip" \t "https://portal.3gpp.org/ngppapp/_blank" </w:instrTex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separate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R4-1709181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fldChar w:fldCharType="end"/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WF on NR band Numbering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R4-2220224 Ad-hoc minutes for NTN above 10GHz band introduction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R4-2220239 WF for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above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10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GHz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band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definition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and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system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parameters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  <w:t>Thales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Approved.</w:t>
      </w:r>
    </w:p>
    <w:p>
      <w:pPr>
        <w:pStyle w:val="53"/>
        <w:numPr>
          <w:ilvl w:val="0"/>
          <w:numId w:val="3"/>
        </w:numP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  <w:lang w:eastAsia="zh-CN"/>
        </w:rPr>
      </w:pP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R4-2302879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i w:val="0"/>
          <w:caps w:val="0"/>
          <w:spacing w:val="0"/>
          <w:sz w:val="20"/>
          <w:szCs w:val="20"/>
          <w:highlight w:val="none"/>
          <w:u w:val="none"/>
        </w:rPr>
        <w:t>Ad-hoc minutes for system parameters of above 10GHz NTN band introduction</w:t>
      </w:r>
      <w:r>
        <w:rPr>
          <w:rFonts w:hint="eastAsia" w:cs="Times New Roman"/>
          <w:i w:val="0"/>
          <w:caps w:val="0"/>
          <w:spacing w:val="0"/>
          <w:sz w:val="20"/>
          <w:szCs w:val="20"/>
          <w:highlight w:val="none"/>
          <w:u w:val="none"/>
          <w:lang w:val="en-US" w:eastAsia="zh-CN"/>
        </w:rPr>
        <w:t>, Qualcomm, Approved.</w:t>
      </w:r>
    </w:p>
    <w:p>
      <w:pPr>
        <w:pStyle w:val="53"/>
        <w:numPr>
          <w:ilvl w:val="0"/>
          <w:numId w:val="0"/>
        </w:numPr>
        <w:rPr>
          <w:rFonts w:hint="eastAsia" w:ascii="Times New Roman" w:hAnsi="Times New Roman" w:cs="Times New Roman"/>
          <w:b w:val="0"/>
          <w:sz w:val="20"/>
          <w:szCs w:val="20"/>
          <w:highlight w:val="none"/>
        </w:rPr>
      </w:pPr>
    </w:p>
    <w:p>
      <w:pPr>
        <w:pStyle w:val="53"/>
        <w:numPr>
          <w:ilvl w:val="-1"/>
          <w:numId w:val="0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68276A24"/>
    <w:multiLevelType w:val="multilevel"/>
    <w:tmpl w:val="68276A24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896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6B7048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2D5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A7D52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6E0F29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6E4028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A9742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7193"/>
    <w:rsid w:val="072B7E46"/>
    <w:rsid w:val="072F2139"/>
    <w:rsid w:val="07357EB2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9874F1"/>
    <w:rsid w:val="07A2728D"/>
    <w:rsid w:val="07A80D41"/>
    <w:rsid w:val="07AA3E51"/>
    <w:rsid w:val="07BE51B2"/>
    <w:rsid w:val="07C5157D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0731EE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483EAD"/>
    <w:rsid w:val="0A5056C6"/>
    <w:rsid w:val="0A5060D6"/>
    <w:rsid w:val="0A544B53"/>
    <w:rsid w:val="0A5F4C2E"/>
    <w:rsid w:val="0A61702D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60B2F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8A537E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1489A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E6493C"/>
    <w:rsid w:val="0CEA06E8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9652C"/>
    <w:rsid w:val="0D1A52C8"/>
    <w:rsid w:val="0D1C1D16"/>
    <w:rsid w:val="0D21615D"/>
    <w:rsid w:val="0D2454BF"/>
    <w:rsid w:val="0D2767B5"/>
    <w:rsid w:val="0D3E327E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0F6316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571DA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AF7714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81555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A5A30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778BF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276DC"/>
    <w:rsid w:val="179559A6"/>
    <w:rsid w:val="17957384"/>
    <w:rsid w:val="17A30F12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65D77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20ED1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2384A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4517A"/>
    <w:rsid w:val="1C793EB9"/>
    <w:rsid w:val="1C807142"/>
    <w:rsid w:val="1C90266F"/>
    <w:rsid w:val="1C941310"/>
    <w:rsid w:val="1C9A166E"/>
    <w:rsid w:val="1C9D1065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023C0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C403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01EFD"/>
    <w:rsid w:val="21B472C9"/>
    <w:rsid w:val="21B50781"/>
    <w:rsid w:val="21BB41F5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C45F8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55B99"/>
    <w:rsid w:val="247A5C3A"/>
    <w:rsid w:val="247C5EE2"/>
    <w:rsid w:val="247C7B9E"/>
    <w:rsid w:val="247E1CE1"/>
    <w:rsid w:val="247F6CC6"/>
    <w:rsid w:val="24837A35"/>
    <w:rsid w:val="24851BBB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A6416"/>
    <w:rsid w:val="27907336"/>
    <w:rsid w:val="279408D2"/>
    <w:rsid w:val="279A2ED3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E07021"/>
    <w:rsid w:val="27FE4240"/>
    <w:rsid w:val="280008FF"/>
    <w:rsid w:val="2804331D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0A77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51B3C"/>
    <w:rsid w:val="296865F6"/>
    <w:rsid w:val="296B20A7"/>
    <w:rsid w:val="297D1A8B"/>
    <w:rsid w:val="298431C2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DE2380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51408F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01D3E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7579C4"/>
    <w:rsid w:val="2F805714"/>
    <w:rsid w:val="2F8640C4"/>
    <w:rsid w:val="2F8E5F5C"/>
    <w:rsid w:val="2F921FAC"/>
    <w:rsid w:val="2F93703C"/>
    <w:rsid w:val="2F9A4BB6"/>
    <w:rsid w:val="2FA21231"/>
    <w:rsid w:val="2FA54FC5"/>
    <w:rsid w:val="2FAD4759"/>
    <w:rsid w:val="2FAD5866"/>
    <w:rsid w:val="2FB91323"/>
    <w:rsid w:val="2FCA0967"/>
    <w:rsid w:val="2FD84674"/>
    <w:rsid w:val="2FDB17E1"/>
    <w:rsid w:val="2FE20568"/>
    <w:rsid w:val="2FE37171"/>
    <w:rsid w:val="2FE91596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16FE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CD2772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9611D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77953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502F1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E6151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77435"/>
    <w:rsid w:val="381C2F7D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427D3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101"/>
    <w:rsid w:val="3AAC45FD"/>
    <w:rsid w:val="3AB2580E"/>
    <w:rsid w:val="3AB26A14"/>
    <w:rsid w:val="3AB94248"/>
    <w:rsid w:val="3ABE76C3"/>
    <w:rsid w:val="3ABF42F5"/>
    <w:rsid w:val="3ACE7D16"/>
    <w:rsid w:val="3AD73D23"/>
    <w:rsid w:val="3AE82839"/>
    <w:rsid w:val="3AEE596A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167EF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B3C0D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0972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67B99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07B5C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20CC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2393C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87255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3A63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A7D6F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3E43CB"/>
    <w:rsid w:val="444014DC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55EE6"/>
    <w:rsid w:val="44C87C0F"/>
    <w:rsid w:val="44CB4FB3"/>
    <w:rsid w:val="44D31B1E"/>
    <w:rsid w:val="44DF6F1B"/>
    <w:rsid w:val="44E5200E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712D5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025A5"/>
    <w:rsid w:val="4B82716C"/>
    <w:rsid w:val="4B857EC6"/>
    <w:rsid w:val="4B8829C1"/>
    <w:rsid w:val="4B8A2918"/>
    <w:rsid w:val="4B8D1D76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0419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C199A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C35AB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BC0C2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0D4D4A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07DF"/>
    <w:rsid w:val="50C65C4E"/>
    <w:rsid w:val="50C65E30"/>
    <w:rsid w:val="50D228CF"/>
    <w:rsid w:val="50E63519"/>
    <w:rsid w:val="50E9032C"/>
    <w:rsid w:val="50EC2A8B"/>
    <w:rsid w:val="50ED76FB"/>
    <w:rsid w:val="50F568D9"/>
    <w:rsid w:val="50FD2A03"/>
    <w:rsid w:val="5101000D"/>
    <w:rsid w:val="5103754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A0F7B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5F6206"/>
    <w:rsid w:val="52612620"/>
    <w:rsid w:val="526478E1"/>
    <w:rsid w:val="526A546C"/>
    <w:rsid w:val="527847C1"/>
    <w:rsid w:val="52790FD9"/>
    <w:rsid w:val="52887A7D"/>
    <w:rsid w:val="52894DE6"/>
    <w:rsid w:val="528C5E23"/>
    <w:rsid w:val="52965280"/>
    <w:rsid w:val="529667DA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6310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47D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57510"/>
    <w:rsid w:val="549C6534"/>
    <w:rsid w:val="549D5652"/>
    <w:rsid w:val="54A14490"/>
    <w:rsid w:val="54A153FA"/>
    <w:rsid w:val="54A55A38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A0C0C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B4120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47DAB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4E3E4D"/>
    <w:rsid w:val="58563BF0"/>
    <w:rsid w:val="58590DD2"/>
    <w:rsid w:val="5863473D"/>
    <w:rsid w:val="586C2A31"/>
    <w:rsid w:val="586E1447"/>
    <w:rsid w:val="58733BEB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C40DA"/>
    <w:rsid w:val="590C62BD"/>
    <w:rsid w:val="591A07AD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B192D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9519B"/>
    <w:rsid w:val="5CEB1D70"/>
    <w:rsid w:val="5CF45558"/>
    <w:rsid w:val="5CF70E19"/>
    <w:rsid w:val="5D00730C"/>
    <w:rsid w:val="5D072BC8"/>
    <w:rsid w:val="5D076525"/>
    <w:rsid w:val="5D0A3A75"/>
    <w:rsid w:val="5D1052BD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2F0E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BB6191"/>
    <w:rsid w:val="5DCE472A"/>
    <w:rsid w:val="5DD70750"/>
    <w:rsid w:val="5DE44DF4"/>
    <w:rsid w:val="5DED4540"/>
    <w:rsid w:val="5DFD4406"/>
    <w:rsid w:val="5E00720B"/>
    <w:rsid w:val="5E012896"/>
    <w:rsid w:val="5E074911"/>
    <w:rsid w:val="5E080467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14D58"/>
    <w:rsid w:val="5E754A5D"/>
    <w:rsid w:val="5E783202"/>
    <w:rsid w:val="5E7842EE"/>
    <w:rsid w:val="5E7A4974"/>
    <w:rsid w:val="5E803D55"/>
    <w:rsid w:val="5E854DAE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46C11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AA5864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57FDE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5712A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2350F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A5C24"/>
    <w:rsid w:val="645B5DC0"/>
    <w:rsid w:val="645D3A6B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A7C62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825FDC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AD7C8E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2770A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6E68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6E5CF0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A0943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E5736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387253"/>
    <w:rsid w:val="6F4876AF"/>
    <w:rsid w:val="6F537FC0"/>
    <w:rsid w:val="6F607895"/>
    <w:rsid w:val="6F61040C"/>
    <w:rsid w:val="6F6776E1"/>
    <w:rsid w:val="6F702CF5"/>
    <w:rsid w:val="6F7A0C79"/>
    <w:rsid w:val="6F7E1B78"/>
    <w:rsid w:val="6F7F2D61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76220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085D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4FF0609"/>
    <w:rsid w:val="7502618E"/>
    <w:rsid w:val="750934A8"/>
    <w:rsid w:val="750A15E4"/>
    <w:rsid w:val="750C76FA"/>
    <w:rsid w:val="751C6D8A"/>
    <w:rsid w:val="752B3381"/>
    <w:rsid w:val="75325694"/>
    <w:rsid w:val="75376E15"/>
    <w:rsid w:val="75377773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40A69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B7A86"/>
    <w:rsid w:val="774D47BD"/>
    <w:rsid w:val="775352E9"/>
    <w:rsid w:val="77551F00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17B62"/>
    <w:rsid w:val="78591903"/>
    <w:rsid w:val="787659AD"/>
    <w:rsid w:val="7888219B"/>
    <w:rsid w:val="78887070"/>
    <w:rsid w:val="788908C8"/>
    <w:rsid w:val="78993306"/>
    <w:rsid w:val="789F3EDD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28148A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5B74A5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A2315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AC3C57"/>
    <w:rsid w:val="7CB027DF"/>
    <w:rsid w:val="7CB5615D"/>
    <w:rsid w:val="7CB62523"/>
    <w:rsid w:val="7CB65ABC"/>
    <w:rsid w:val="7CCA0DF6"/>
    <w:rsid w:val="7CCA5583"/>
    <w:rsid w:val="7CD72F9B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0399D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EFD7856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11BE4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37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  <w:style w:type="paragraph" w:customStyle="1" w:styleId="95">
    <w:name w:val="TAR"/>
    <w:basedOn w:val="37"/>
    <w:qFormat/>
    <w:uiPriority w:val="0"/>
    <w:pPr>
      <w:jc w:val="righ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3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2023-04-10T14:11:21Z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